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pacing w:lineRule="auto" w:line="240"/>
        <w:jc w:val="center"/>
        <w:textAlignment w:val="baseline"/>
        <w:rPr>
          <w:rFonts w:ascii="Liberation Serif" w:hAnsi="Liberation Serif"/>
        </w:rPr>
      </w:pPr>
      <w:r>
        <w:rPr/>
        <w:drawing>
          <wp:inline distT="0" distB="0" distL="0" distR="0">
            <wp:extent cx="436245" cy="64135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</w:p>
    <w:p>
      <w:pPr>
        <w:pStyle w:val="Normal"/>
        <w:spacing w:lineRule="auto" w:line="24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spacing w:lineRule="auto" w:line="240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spacing w:lineRule="auto" w:line="240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spacing w:lineRule="auto" w:line="240"/>
        <w:jc w:val="center"/>
        <w:textAlignment w:val="baseline"/>
        <w:rPr>
          <w:rFonts w:ascii="Liberation Serif" w:hAnsi="Liberation Serif"/>
          <w:b/>
          <w:bCs/>
          <w:color w:val="000000"/>
          <w:sz w:val="32"/>
          <w:szCs w:val="32"/>
        </w:rPr>
      </w:pPr>
      <w:r>
        <w:rPr>
          <w:rFonts w:ascii="Liberation Serif" w:hAnsi="Liberation Serif"/>
          <w:b/>
          <w:bCs/>
          <w:color w:val="000000"/>
          <w:sz w:val="32"/>
          <w:szCs w:val="32"/>
        </w:rPr>
      </w:r>
    </w:p>
    <w:p>
      <w:pPr>
        <w:pStyle w:val="Normal"/>
        <w:spacing w:lineRule="auto" w:line="240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695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5"/>
      </w:tblGrid>
      <w:tr>
        <w:trPr>
          <w:trHeight w:val="513" w:hRule="atLeast"/>
        </w:trPr>
        <w:tc>
          <w:tcPr>
            <w:tcW w:w="9695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bidi w:val="0"/>
              <w:spacing w:lineRule="auto" w:line="240" w:before="0" w:after="0"/>
              <w:ind w:hanging="0" w:left="-113" w:right="113"/>
              <w:jc w:val="left"/>
              <w:rPr/>
            </w:pPr>
            <w:r>
              <w:rPr>
                <w:rFonts w:ascii="Liberation Serif" w:hAnsi="Liberation Serif"/>
                <w:szCs w:val="20"/>
                <w:lang w:eastAsia="en-US"/>
              </w:rPr>
              <w:t>от 20.02.2026                                            п.г.т. Тугулым                                                         № 90</w:t>
            </w:r>
          </w:p>
        </w:tc>
      </w:tr>
    </w:tbl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О внесении изменений в муниципальную программу</w:t>
      </w:r>
    </w:p>
    <w:p>
      <w:pPr>
        <w:pStyle w:val="Normal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Тугулымского муниципального округа «Профилактика заболеваний и формирование здорового образа жизни в Тугулымском муниципальном округе на период до 2028 года»</w:t>
      </w:r>
    </w:p>
    <w:p>
      <w:pPr>
        <w:pStyle w:val="Normal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</w:r>
    </w:p>
    <w:p>
      <w:pPr>
        <w:pStyle w:val="Normal"/>
        <w:widowControl w:val="false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</w:r>
    </w:p>
    <w:p>
      <w:pPr>
        <w:pStyle w:val="Normal"/>
        <w:widowControl w:val="false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     </w:t>
      </w:r>
      <w:r>
        <w:rPr>
          <w:rFonts w:ascii="Liberation Serif" w:hAnsi="Liberation Serif"/>
          <w:b/>
        </w:rPr>
        <w:tab/>
      </w:r>
      <w:r>
        <w:rPr>
          <w:rFonts w:ascii="Liberation Serif" w:hAnsi="Liberation Serif"/>
        </w:rPr>
        <w:t>В соответствии со статьей 179 Бюджетного кодекса Российской Федерации,  Федеральным законом от 6 октября 2003 года № 131-ФЗ «Об общих принципах организации местного самоуправления в Российской Федерации», Уставам  Тугулымского муниципального округа  Свердловской области, Положением о порядке формирования и реализации муниципальных программ Тугулымского муниципального округа, утверждённым постановлением администрации Тугулымского городского округа от 14.10.2013 № 325, администрация Тугулымского муниципального округа</w:t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Normal"/>
        <w:widowControl w:val="false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ab/>
      </w:r>
    </w:p>
    <w:p>
      <w:pPr>
        <w:pStyle w:val="ListParagraph"/>
        <w:numPr>
          <w:ilvl w:val="0"/>
          <w:numId w:val="0"/>
        </w:numPr>
        <w:ind w:hanging="0" w:lef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  <w:t>1. В муниципальную программу Тугулымского муниципального округа «Профилактика заболеваний и формирование здорового образа жизни в Тугулымском муниципальном округе на период до 2028 года», утвержденную постановлением администрации Тугулымского городского округа от 28.10.2021 № 274 (в редакции изменений от 30.12.2025 № 923) внести следующие изменения: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1)</w:t>
      </w:r>
      <w:r>
        <w:rPr>
          <w:rFonts w:ascii="Liberation Serif" w:hAnsi="Liberation Serif"/>
          <w:bCs/>
          <w:sz w:val="24"/>
          <w:szCs w:val="24"/>
        </w:rPr>
        <w:t xml:space="preserve">  строку «Объём финансирования муниципальной программы по годам реализации, тыс. рублей» раздела Паспорта муниципальной программы изложить в новой редакции:</w:t>
      </w:r>
    </w:p>
    <w:p>
      <w:pPr>
        <w:pStyle w:val="ListParagraph"/>
        <w:widowControl/>
        <w:bidi w:val="0"/>
        <w:spacing w:before="0" w:after="0"/>
        <w:ind w:hanging="0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«</w:t>
      </w:r>
    </w:p>
    <w:tbl>
      <w:tblPr>
        <w:tblW w:w="9639" w:type="dxa"/>
        <w:jc w:val="left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4a0" w:noHBand="0" w:noVBand="1" w:firstColumn="1" w:lastRow="0" w:lastColumn="0" w:firstRow="1"/>
      </w:tblPr>
      <w:tblGrid>
        <w:gridCol w:w="4968"/>
        <w:gridCol w:w="4671"/>
      </w:tblGrid>
      <w:tr>
        <w:trPr>
          <w:trHeight w:val="292" w:hRule="atLeast"/>
        </w:trPr>
        <w:tc>
          <w:tcPr>
            <w:tcW w:w="49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170" w:left="0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</w:rPr>
              <w:t>Объем финансирования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before="0" w:after="0"/>
              <w:ind w:firstLine="57" w:left="57" w:right="57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</w:rPr>
              <w:t>ВСЕГО:</w:t>
            </w:r>
          </w:p>
        </w:tc>
      </w:tr>
      <w:tr>
        <w:trPr>
          <w:trHeight w:val="257" w:hRule="atLeast"/>
        </w:trPr>
        <w:tc>
          <w:tcPr>
            <w:tcW w:w="4968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170" w:left="0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</w:rPr>
              <w:t>муниципальной</w:t>
            </w:r>
          </w:p>
        </w:tc>
        <w:tc>
          <w:tcPr>
            <w:tcW w:w="4671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before="0" w:after="0"/>
              <w:ind w:firstLine="57" w:left="57" w:right="57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</w:rPr>
              <w:t>3 296,6 тыс. рублей</w:t>
            </w:r>
          </w:p>
        </w:tc>
      </w:tr>
      <w:tr>
        <w:trPr>
          <w:trHeight w:val="236" w:hRule="atLeast"/>
        </w:trPr>
        <w:tc>
          <w:tcPr>
            <w:tcW w:w="4968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170" w:left="0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</w:rPr>
              <w:t>программы по годам</w:t>
            </w:r>
          </w:p>
        </w:tc>
        <w:tc>
          <w:tcPr>
            <w:tcW w:w="4671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before="0" w:after="0"/>
              <w:ind w:firstLine="57" w:left="57" w:right="57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</w:rPr>
              <w:t>в том числе:</w:t>
            </w:r>
          </w:p>
        </w:tc>
      </w:tr>
      <w:tr>
        <w:trPr>
          <w:trHeight w:val="2031" w:hRule="atLeast"/>
        </w:trPr>
        <w:tc>
          <w:tcPr>
            <w:tcW w:w="4968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170" w:left="0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</w:rPr>
              <w:t>реализации, тыс. рублей</w:t>
            </w:r>
          </w:p>
        </w:tc>
        <w:tc>
          <w:tcPr>
            <w:tcW w:w="4671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before="0" w:after="0"/>
              <w:ind w:firstLine="57" w:left="57" w:right="57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</w:rPr>
              <w:t xml:space="preserve">2022 год - 445,1 тыс. рублей, </w:t>
              <w:br/>
              <w:t xml:space="preserve"> 2023 год - 445,0 тыс. рублей, </w:t>
              <w:br/>
              <w:t xml:space="preserve"> 2024 год - 420,0 тыс. рублей, </w:t>
              <w:br/>
              <w:t xml:space="preserve"> 2025 год - 499,0 тыс. рублей, </w:t>
              <w:br/>
              <w:t xml:space="preserve"> 2026 год - 492,5 тыс. рублей, </w:t>
              <w:br/>
              <w:t xml:space="preserve"> 2027 год - 497,5 тыс. рублей, </w:t>
              <w:br/>
              <w:t xml:space="preserve"> 2028 год - 497,5 тыс. рублей</w:t>
            </w:r>
          </w:p>
        </w:tc>
      </w:tr>
      <w:tr>
        <w:trPr>
          <w:trHeight w:val="285" w:hRule="atLeast"/>
        </w:trPr>
        <w:tc>
          <w:tcPr>
            <w:tcW w:w="4968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ind w:left="28" w:right="28"/>
              <w:rPr>
                <w:rFonts w:ascii="Liberation Serif" w:hAnsi="Liberation Serif" w:eastAsia="Calibri"/>
                <w:color w:val="000000"/>
                <w:sz w:val="24"/>
                <w:szCs w:val="24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</w:rPr>
            </w:r>
          </w:p>
        </w:tc>
        <w:tc>
          <w:tcPr>
            <w:tcW w:w="4671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ind w:hanging="0" w:left="0" w:right="28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</w:rPr>
              <w:t xml:space="preserve">  </w:t>
            </w:r>
            <w:r>
              <w:rPr>
                <w:rFonts w:eastAsia="Calibri" w:ascii="Liberation Serif" w:hAnsi="Liberation Serif"/>
                <w:color w:val="000000"/>
                <w:sz w:val="24"/>
                <w:szCs w:val="24"/>
              </w:rPr>
              <w:t>из них:</w:t>
            </w:r>
          </w:p>
        </w:tc>
      </w:tr>
      <w:tr>
        <w:trPr>
          <w:trHeight w:val="264" w:hRule="atLeast"/>
        </w:trPr>
        <w:tc>
          <w:tcPr>
            <w:tcW w:w="4968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ind w:left="115"/>
              <w:rPr>
                <w:rFonts w:ascii="Liberation Serif" w:hAnsi="Liberation Serif" w:eastAsia="Calibri"/>
                <w:color w:val="000000"/>
                <w:sz w:val="24"/>
                <w:szCs w:val="24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</w:rPr>
            </w:r>
          </w:p>
        </w:tc>
        <w:tc>
          <w:tcPr>
            <w:tcW w:w="4671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ind w:left="115" w:right="115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</w:rPr>
              <w:t>местный бюджет</w:t>
            </w:r>
          </w:p>
        </w:tc>
      </w:tr>
      <w:tr>
        <w:trPr>
          <w:trHeight w:val="292" w:hRule="atLeast"/>
        </w:trPr>
        <w:tc>
          <w:tcPr>
            <w:tcW w:w="4968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ind w:left="115"/>
              <w:rPr>
                <w:rFonts w:ascii="Liberation Serif" w:hAnsi="Liberation Serif" w:eastAsia="Calibri"/>
                <w:color w:val="000000"/>
                <w:sz w:val="24"/>
                <w:szCs w:val="24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</w:rPr>
            </w:r>
          </w:p>
        </w:tc>
        <w:tc>
          <w:tcPr>
            <w:tcW w:w="4671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ind w:left="115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</w:rPr>
              <w:t>3 296,6 тыс. рублей</w:t>
            </w:r>
          </w:p>
        </w:tc>
      </w:tr>
      <w:tr>
        <w:trPr>
          <w:trHeight w:val="327" w:hRule="atLeast"/>
        </w:trPr>
        <w:tc>
          <w:tcPr>
            <w:tcW w:w="4968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ind w:left="115"/>
              <w:rPr>
                <w:rFonts w:ascii="Liberation Serif" w:hAnsi="Liberation Serif" w:eastAsia="Calibri"/>
                <w:color w:val="000000"/>
                <w:sz w:val="24"/>
                <w:szCs w:val="24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</w:rPr>
            </w:r>
          </w:p>
        </w:tc>
        <w:tc>
          <w:tcPr>
            <w:tcW w:w="4671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ind w:left="115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</w:rPr>
              <w:t>в том числе:</w:t>
            </w:r>
          </w:p>
        </w:tc>
      </w:tr>
      <w:tr>
        <w:trPr>
          <w:trHeight w:val="1989" w:hRule="atLeast"/>
        </w:trPr>
        <w:tc>
          <w:tcPr>
            <w:tcW w:w="49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ind w:left="115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</w:r>
          </w:p>
          <w:p>
            <w:pPr>
              <w:pStyle w:val="Normal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ind w:left="115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</w:rPr>
              <w:t xml:space="preserve">2022 год - 445,1 тыс. рублей, </w:t>
              <w:br/>
              <w:t xml:space="preserve">2023 год - 445,0 тыс. рублей, </w:t>
              <w:br/>
              <w:t xml:space="preserve">2024 год - 420,0 тыс. рублей, </w:t>
              <w:br/>
              <w:t xml:space="preserve">2025 год - 499,0 тыс. рублей, </w:t>
              <w:br/>
              <w:t xml:space="preserve">2026 год - 492,5 тыс. рублей, </w:t>
              <w:br/>
              <w:t xml:space="preserve">2027 год - 497,5 тыс. рублей, </w:t>
              <w:br/>
              <w:t>2028 год - 497,5 тыс. рублей</w:t>
            </w:r>
          </w:p>
        </w:tc>
      </w:tr>
    </w:tbl>
    <w:p>
      <w:pPr>
        <w:pStyle w:val="Normal"/>
        <w:jc w:val="right"/>
        <w:rPr/>
      </w:pPr>
      <w:r>
        <w:rPr/>
        <w:t>».</w:t>
      </w:r>
    </w:p>
    <w:p>
      <w:pPr>
        <w:pStyle w:val="Normal"/>
        <w:widowControl w:val="false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2)  Приложение № 1 «</w:t>
      </w:r>
      <w:r>
        <w:rPr>
          <w:rFonts w:ascii="Liberation Serif" w:hAnsi="Liberation Serif"/>
          <w:color w:val="000000"/>
        </w:rPr>
        <w:t xml:space="preserve">Цели, задачи и целевые показатели реализации муниципальной программы Тугулымского муниципального округа «Профилактика заболеваний и формирование здорового образа жизни в Тугулымском муниципальном округе на период до 2028 года» </w:t>
      </w:r>
      <w:r>
        <w:rPr>
          <w:rFonts w:ascii="Liberation Serif" w:hAnsi="Liberation Serif"/>
          <w:bCs/>
          <w:color w:val="000000"/>
          <w:sz w:val="24"/>
          <w:szCs w:val="24"/>
        </w:rPr>
        <w:t>изложить в новой редакции</w:t>
      </w:r>
      <w:r>
        <w:rPr>
          <w:rFonts w:ascii="Liberation Serif" w:hAnsi="Liberation Serif"/>
          <w:color w:val="000000"/>
        </w:rPr>
        <w:t>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spacing w:lineRule="atLeast" w:line="0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3)  Приложение № 2 «План мероприятий по выполнению муниципальной программы </w:t>
      </w:r>
      <w:r>
        <w:rPr>
          <w:rFonts w:ascii="Liberation Serif" w:hAnsi="Liberation Serif"/>
          <w:color w:val="000000"/>
        </w:rPr>
        <w:t>Тугулымского муниципального округа</w:t>
      </w:r>
      <w:r>
        <w:rPr>
          <w:rFonts w:ascii="Liberation Serif" w:hAnsi="Liberation Serif"/>
        </w:rPr>
        <w:t xml:space="preserve"> «Профилактика заболеваний и формирование здорового образа жизни в Тугулымском муниципальном округе на период до 2028 года» </w:t>
      </w:r>
      <w:r>
        <w:rPr>
          <w:rFonts w:ascii="Liberation Serif" w:hAnsi="Liberation Serif"/>
          <w:bCs/>
          <w:color w:val="000000"/>
          <w:sz w:val="24"/>
          <w:szCs w:val="24"/>
        </w:rPr>
        <w:t>изложить в новой редакции</w:t>
      </w:r>
      <w:r>
        <w:rPr>
          <w:rFonts w:ascii="Liberation Serif" w:hAnsi="Liberation Serif"/>
        </w:rPr>
        <w:t>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spacing w:lineRule="atLeast" w:line="0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2.   Настоящее постановление вступает в силу после его подписания.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spacing w:lineRule="atLeast" w:line="0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3. Настоящее постановление разместить на официальном сайте администрации Тугулымского муниципального округа.  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spacing w:lineRule="atLeast" w:line="0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4.  Контроль исполнения настоящего постановления возложить на заместителя главы Тугулымского муниципального округа Шилкову О.В.</w:t>
      </w:r>
    </w:p>
    <w:p>
      <w:pPr>
        <w:pStyle w:val="Normal"/>
        <w:spacing w:lineRule="atLeast" w:line="0"/>
        <w:jc w:val="both"/>
        <w:rPr/>
      </w:pPr>
      <w:r>
        <w:rPr/>
      </w:r>
    </w:p>
    <w:p>
      <w:pPr>
        <w:pStyle w:val="Normal"/>
        <w:spacing w:lineRule="atLeast" w:line="240"/>
        <w:jc w:val="both"/>
        <w:rPr/>
      </w:pPr>
      <w:r>
        <w:rPr/>
      </w:r>
    </w:p>
    <w:p>
      <w:pPr>
        <w:pStyle w:val="Normal"/>
        <w:spacing w:lineRule="atLeast" w:line="240"/>
        <w:jc w:val="both"/>
        <w:rPr/>
      </w:pPr>
      <w:r>
        <w:rPr/>
      </w:r>
    </w:p>
    <w:p>
      <w:pPr>
        <w:pStyle w:val="Normal"/>
        <w:spacing w:lineRule="atLeast" w:line="24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Глава</w:t>
      </w:r>
    </w:p>
    <w:p>
      <w:pPr>
        <w:pStyle w:val="Normal"/>
        <w:spacing w:lineRule="atLeast" w:line="24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Тугулымского муниципального округа                                                                      А.Н. Поздеев</w:t>
      </w:r>
    </w:p>
    <w:p>
      <w:pPr>
        <w:pStyle w:val="Normal"/>
        <w:widowControl w:val="false"/>
        <w:ind w:firstLine="709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widowControl w:val="false"/>
        <w:jc w:val="both"/>
        <w:rPr/>
      </w:pPr>
      <w:r>
        <w:rPr/>
      </w:r>
      <w:bookmarkStart w:id="1" w:name="Par336"/>
      <w:bookmarkStart w:id="2" w:name="Par336"/>
      <w:bookmarkEnd w:id="2"/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  <w:bookmarkEnd w:id="0"/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437" w:right="845" w:gutter="0" w:header="0" w:top="709" w:footer="709" w:bottom="7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swiss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399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fillcolor="white" stroked="f" o:allowincell="f" style="position:absolute;margin-left:480pt;margin-top:0.05pt;width:1.1pt;height:13.65pt;mso-wrap-style:none;v-text-anchor:middle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3990"/>
              <wp:effectExtent l="0" t="0" r="0" b="0"/>
              <wp:wrapSquare wrapText="bothSides"/>
              <wp:docPr id="4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fillcolor="white" stroked="f" o:allowincell="f" style="position:absolute;margin-left:480pt;margin-top:0.05pt;width:1.1pt;height:13.65pt;mso-wrap-style:none;v-text-anchor:middle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val="bestFit" w:percent="19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41c4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4">
    <w:name w:val="heading 4"/>
    <w:basedOn w:val="Normal"/>
    <w:next w:val="Normal"/>
    <w:qFormat/>
    <w:rsid w:val="00370f98"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sid w:val="00042459"/>
    <w:rPr>
      <w:color w:val="0000FF"/>
      <w:u w:val="single"/>
    </w:rPr>
  </w:style>
  <w:style w:type="character" w:styleId="PageNumber">
    <w:name w:val="page number"/>
    <w:basedOn w:val="DefaultParagraphFont"/>
    <w:rsid w:val="00a97b75"/>
    <w:rPr/>
  </w:style>
  <w:style w:type="character" w:styleId="Style13" w:customStyle="1">
    <w:name w:val="Текст выноски Знак"/>
    <w:link w:val="BalloonText"/>
    <w:qFormat/>
    <w:rsid w:val="005b5009"/>
    <w:rPr>
      <w:rFonts w:ascii="Segoe UI" w:hAnsi="Segoe UI" w:cs="Segoe UI"/>
      <w:sz w:val="18"/>
      <w:szCs w:val="18"/>
    </w:rPr>
  </w:style>
  <w:style w:type="character" w:styleId="s1" w:customStyle="1">
    <w:name w:val="s1"/>
    <w:basedOn w:val="DefaultParagraphFont"/>
    <w:qFormat/>
    <w:rsid w:val="00714c00"/>
    <w:rPr/>
  </w:style>
  <w:style w:type="character" w:styleId="apple-converted-space" w:customStyle="1">
    <w:name w:val="apple-converted-space"/>
    <w:basedOn w:val="DefaultParagraphFont"/>
    <w:qFormat/>
    <w:rsid w:val="00714c00"/>
    <w:rPr/>
  </w:style>
  <w:style w:type="character" w:styleId="apple-style-span" w:customStyle="1">
    <w:name w:val="apple-style-span"/>
    <w:basedOn w:val="DefaultParagraphFont"/>
    <w:qFormat/>
    <w:rsid w:val="00116017"/>
    <w:rPr/>
  </w:style>
  <w:style w:type="character" w:styleId="Style14">
    <w:name w:val="Заголовок Знак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">
    <w:name w:val="Заголовок 2 Знак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rsid w:val="00042459"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ConsPlusCell" w:customStyle="1">
    <w:name w:val="ConsPlusCell"/>
    <w:qFormat/>
    <w:rsid w:val="00a41c46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 w:customStyle="1">
    <w:name w:val="Default"/>
    <w:qFormat/>
    <w:rsid w:val="000f67f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user2">
    <w:name w:val="Колонтитулы (user)"/>
    <w:basedOn w:val="Normal"/>
    <w:qFormat/>
    <w:pPr/>
    <w:rPr/>
  </w:style>
  <w:style w:type="paragraph" w:styleId="Style17">
    <w:name w:val="Колонтитулы"/>
    <w:basedOn w:val="Normal"/>
    <w:qFormat/>
    <w:pPr/>
    <w:rPr/>
  </w:style>
  <w:style w:type="paragraph" w:styleId="Footer">
    <w:name w:val="footer"/>
    <w:basedOn w:val="Normal"/>
    <w:rsid w:val="00a97b7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Title" w:customStyle="1">
    <w:name w:val="ConsPlusTitle"/>
    <w:qFormat/>
    <w:rsid w:val="00f406b6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b/>
      <w:bCs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qFormat/>
    <w:rsid w:val="00370f98"/>
    <w:pPr>
      <w:jc w:val="center"/>
    </w:pPr>
    <w:rPr>
      <w:b/>
      <w:szCs w:val="20"/>
    </w:rPr>
  </w:style>
  <w:style w:type="paragraph" w:styleId="Header">
    <w:name w:val="header"/>
    <w:basedOn w:val="Normal"/>
    <w:rsid w:val="00370f9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qFormat/>
    <w:rsid w:val="001e2904"/>
    <w:pPr>
      <w:spacing w:before="31" w:after="31"/>
    </w:pPr>
    <w:rPr>
      <w:rFonts w:ascii="Arial" w:hAnsi="Arial"/>
      <w:color w:val="000000"/>
      <w:spacing w:val="2"/>
      <w:szCs w:val="20"/>
    </w:rPr>
  </w:style>
  <w:style w:type="paragraph" w:styleId="BalloonText">
    <w:name w:val="Balloon Text"/>
    <w:basedOn w:val="Normal"/>
    <w:link w:val="Style13"/>
    <w:qFormat/>
    <w:rsid w:val="005b5009"/>
    <w:pPr/>
    <w:rPr>
      <w:rFonts w:ascii="Segoe UI" w:hAnsi="Segoe UI"/>
      <w:sz w:val="18"/>
      <w:szCs w:val="18"/>
    </w:rPr>
  </w:style>
  <w:style w:type="paragraph" w:styleId="p4" w:customStyle="1">
    <w:name w:val="p4"/>
    <w:basedOn w:val="Normal"/>
    <w:qFormat/>
    <w:rsid w:val="00714c00"/>
    <w:pPr>
      <w:spacing w:beforeAutospacing="1" w:afterAutospacing="1"/>
    </w:pPr>
    <w:rPr/>
  </w:style>
  <w:style w:type="paragraph" w:styleId="p5" w:customStyle="1">
    <w:name w:val="p5"/>
    <w:basedOn w:val="Normal"/>
    <w:qFormat/>
    <w:rsid w:val="00714c00"/>
    <w:pPr>
      <w:spacing w:beforeAutospacing="1" w:afterAutospacing="1"/>
    </w:pPr>
    <w:rPr/>
  </w:style>
  <w:style w:type="paragraph" w:styleId="ListParagraph">
    <w:name w:val="List Paragraph"/>
    <w:basedOn w:val="Normal"/>
    <w:uiPriority w:val="34"/>
    <w:qFormat/>
    <w:rsid w:val="00306c7d"/>
    <w:pPr>
      <w:spacing w:before="0" w:after="0"/>
      <w:ind w:left="720"/>
      <w:contextualSpacing/>
    </w:pPr>
    <w:rPr/>
  </w:style>
  <w:style w:type="paragraph" w:styleId="user3">
    <w:name w:val="Содержимое врезки (user)"/>
    <w:basedOn w:val="Normal"/>
    <w:qFormat/>
    <w:pPr/>
    <w:rPr/>
  </w:style>
  <w:style w:type="paragraph" w:styleId="Style18">
    <w:name w:val="Содержимое врезки"/>
    <w:basedOn w:val="Normal"/>
    <w:qFormat/>
    <w:pPr/>
    <w:rPr/>
  </w:style>
  <w:style w:type="numbering" w:styleId="user4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af12d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LibreOffice/25.8.4.2$Linux_X86_64 LibreOffice_project/290daaa01b999472f0c7a3890eb6a550fd74c6df</Application>
  <AppVersion>15.0000</AppVersion>
  <Pages>2</Pages>
  <Words>394</Words>
  <Characters>2468</Characters>
  <CharactersWithSpaces>3038</CharactersWithSpaces>
  <Paragraphs>35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2026-02-16T04:17:00Z</dcterms:created>
  <dc:creator>зам главы</dc:creator>
  <dc:description/>
  <dc:language>ru-RU</dc:language>
  <cp:lastModifiedBy/>
  <cp:lastPrinted>2026-02-19T04:34:00Z</cp:lastPrinted>
  <dcterms:modified xsi:type="dcterms:W3CDTF">2026-02-24T10:44:06Z</dcterms:modified>
  <cp:revision>8</cp:revision>
  <dc:subject/>
  <dc:title>ПАСПОРТ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